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Whitepaper — Hybrid Zone Blockchain Connect (EN)</w:t>
      </w:r>
    </w:p>
    <w:p>
      <w:r>
        <w:t>Wersja: 2026-02-01</w:t>
      </w:r>
    </w:p>
    <w:p/>
    <w:p>
      <w:pPr>
        <w:pStyle w:val="Heading1"/>
      </w:pPr>
      <w:r>
        <w:t>Executive Summary</w:t>
      </w:r>
    </w:p>
    <w:p>
      <w:r>
        <w:t>HZBC integrates wholesale asset flows with a DLT settlement layer.</w:t>
      </w:r>
    </w:p>
    <w:p>
      <w:r>
        <w:t>Target: T+0/T+1, atomic DvP, collateral tokenization, interoperability.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Whitepaper — Hybrid Zone Blockchain Connect (EN)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