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Whitepaper — Hybrid Zone Blockchain Connect (PL)</w:t>
      </w:r>
    </w:p>
    <w:p>
      <w:r>
        <w:t>Wersja: 2026-02-01</w:t>
      </w:r>
    </w:p>
    <w:p/>
    <w:p>
      <w:pPr>
        <w:pStyle w:val="Heading1"/>
      </w:pPr>
      <w:r>
        <w:t>Streszczenie</w:t>
      </w:r>
    </w:p>
    <w:p>
      <w:r>
        <w:t>HZBC integruje hurtowe przepływy aktywów z warstwą DLT.</w:t>
      </w:r>
    </w:p>
    <w:p>
      <w:r>
        <w:t>Docelowo T+0/T+1, atomic DvP, tokenizacja zabezpieczeń, interoperacyjność.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Whitepaper — Hybrid Zone Blockchain Connect (PL)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